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参会回执</w:t>
      </w:r>
    </w:p>
    <w:tbl>
      <w:tblPr>
        <w:tblStyle w:val="4"/>
        <w:tblW w:w="15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2"/>
        <w:gridCol w:w="1826"/>
        <w:gridCol w:w="2311"/>
        <w:gridCol w:w="2311"/>
        <w:gridCol w:w="1142"/>
        <w:gridCol w:w="1932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eastAsia="仿宋_GB2312" w:cs="Times New Roman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是否需要会务组帮忙代订住宿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3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2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否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单间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400元/间</w:t>
            </w: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标间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val="en-US" w:eastAsia="zh-CN"/>
              </w:rPr>
              <w:t>400元/间</w:t>
            </w:r>
            <w:r>
              <w:rPr>
                <w:rFonts w:hint="eastAsia" w:ascii="Times New Roman" w:eastAsia="仿宋_GB2312" w:cs="Times New Roman"/>
                <w:b w:val="0"/>
                <w:b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3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21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spacing w:val="-2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firstLine="0" w:firstLineChars="0"/>
        <w:textAlignment w:val="auto"/>
        <w:rPr>
          <w:rFonts w:hint="eastAsia" w:ascii="Times" w:hAnsi="Times"/>
          <w:color w:val="050004"/>
          <w:sz w:val="26"/>
          <w:szCs w:val="26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u w:val="none"/>
          <w:lang w:val="en-US" w:eastAsia="zh-CN"/>
        </w:rPr>
        <w:t>往返交通、住宿费用由参会人员自理。会务组可帮忙代订书法大厦住宿。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会务组不安排接送站/机事宜，请参会人员自行前往会议地点。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12F5220D"/>
    <w:rsid w:val="12F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autoRedefine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2024-03-08T08:44:00Z</dcterms:created>
  <dc:creator>_熊猫</dc:creator>
  <cp:lastModifiedBy>_熊猫</cp:lastModifiedBy>
  <dcterms:modified xsi:type="dcterms:W3CDTF">2024-03-08T08:45:13Z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7E52393842C84BE88FA58EF182080B5A_11</vt:lpwstr>
  </property>
</Properties>
</file>